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108CE" w14:textId="77777777" w:rsidR="00920536" w:rsidRDefault="00920536" w:rsidP="00FA4DD9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50DB7CDC" w14:textId="77777777" w:rsidR="00FA4DD9" w:rsidRPr="00FA4DD9" w:rsidRDefault="00FA4DD9" w:rsidP="00FA4DD9">
      <w:pPr>
        <w:jc w:val="center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bookmarkStart w:id="0" w:name="_GoBack"/>
      <w:bookmarkEnd w:id="0"/>
      <w:proofErr w:type="spellStart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Comunicado</w:t>
      </w:r>
      <w:proofErr w:type="spellEnd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de la Red EU-LAT </w:t>
      </w:r>
      <w:proofErr w:type="spellStart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sobre</w:t>
      </w:r>
      <w:proofErr w:type="spellEnd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COVID-19: defender los </w:t>
      </w:r>
      <w:proofErr w:type="spellStart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derechos</w:t>
      </w:r>
      <w:proofErr w:type="spellEnd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humanos</w:t>
      </w:r>
      <w:proofErr w:type="spellEnd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en </w:t>
      </w:r>
      <w:proofErr w:type="spellStart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tiempos</w:t>
      </w:r>
      <w:proofErr w:type="spellEnd"/>
      <w:r w:rsidRPr="00FA4DD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de crisis</w:t>
      </w:r>
      <w:r w:rsidRPr="00FA4DD9">
        <w:rPr>
          <w:rFonts w:ascii="Arial" w:hAnsi="Arial" w:cs="Arial"/>
          <w:color w:val="000000"/>
          <w:lang w:val="en-US"/>
        </w:rPr>
        <w:t> </w:t>
      </w:r>
    </w:p>
    <w:p w14:paraId="0F51DC57" w14:textId="77777777" w:rsidR="00FA4DD9" w:rsidRPr="00FA4DD9" w:rsidRDefault="00FA4DD9" w:rsidP="00FA4DD9">
      <w:pPr>
        <w:spacing w:after="240"/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</w:p>
    <w:p w14:paraId="527EB5F8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pandemia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del coronavirus (COVID-19) ha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desatado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una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crisis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mundial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sin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precedentes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nuestra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historia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moderna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cuyas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consecuencias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salud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sistemas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económicos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sociales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son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impredecibles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.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últimas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semanas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gobiernos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todos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países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mundo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han</w:t>
      </w:r>
      <w:proofErr w:type="spellEnd"/>
      <w:proofErr w:type="gram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activado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medidas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sanitarias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extraordinarias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prevenir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avance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del virus,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ya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está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presente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todos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países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la Unión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Europea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América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Latina. </w:t>
      </w:r>
    </w:p>
    <w:p w14:paraId="6217C60E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 </w:t>
      </w:r>
    </w:p>
    <w:p w14:paraId="4515F48E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Desde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Red EU-LAT,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queremos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llamar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momentos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crisis a la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solidaridad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y a la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cooperación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entre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regiones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América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Latina y Europa</w:t>
      </w: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Reconocemos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esfuerzo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países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frenar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expansión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brote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necesidad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adoptar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medidas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extraordinarias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sin embargo,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medidas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deben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enmarcarse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dentro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del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derecho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internacional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y del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respeto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a los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fundamentales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incluidos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salud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a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libertad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expresión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libertad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sindical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la no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discriminación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 defender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como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ha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señalado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</w:t>
      </w:r>
      <w:hyperlink r:id="rId7" w:history="1"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 xml:space="preserve">Alta </w:t>
        </w:r>
        <w:proofErr w:type="spellStart"/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>Comisionada</w:t>
        </w:r>
        <w:proofErr w:type="spellEnd"/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 xml:space="preserve"> </w:t>
        </w:r>
        <w:proofErr w:type="spellStart"/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>para</w:t>
        </w:r>
        <w:proofErr w:type="spellEnd"/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 xml:space="preserve"> los </w:t>
        </w:r>
        <w:proofErr w:type="spellStart"/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>derechos</w:t>
        </w:r>
        <w:proofErr w:type="spellEnd"/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 xml:space="preserve"> </w:t>
        </w:r>
        <w:proofErr w:type="spellStart"/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>humanos</w:t>
        </w:r>
        <w:proofErr w:type="spellEnd"/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 xml:space="preserve">, Michelle </w:t>
        </w:r>
        <w:proofErr w:type="spellStart"/>
        <w:r w:rsidRPr="00FA4DD9">
          <w:rPr>
            <w:rFonts w:ascii="Calibri" w:hAnsi="Calibri" w:cs="Times New Roman"/>
            <w:color w:val="000000"/>
            <w:sz w:val="22"/>
            <w:szCs w:val="22"/>
            <w:u w:val="single"/>
            <w:lang w:val="en-US"/>
          </w:rPr>
          <w:t>Bachelet</w:t>
        </w:r>
        <w:proofErr w:type="spellEnd"/>
      </w:hyperlink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. </w:t>
      </w:r>
    </w:p>
    <w:p w14:paraId="7653D3E2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 </w:t>
      </w:r>
    </w:p>
    <w:p w14:paraId="08F47F50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América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Latina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una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región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con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una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larga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historia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estados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excepción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o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emergencia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  <w:proofErr w:type="gram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crisis no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puede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ser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una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excusa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consolidar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poder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vulnerar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fundamentales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población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ello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desde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Red EU-LAT,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queremos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enfatizar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medidas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extraordinarias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no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deben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ser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usadas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limitar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goce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fundamentales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modo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permanente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o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arbitrario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ni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deben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esconder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una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acción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represiva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o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ser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usadas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silenciar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trabajo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personas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colectivos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defensores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humanos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. </w:t>
      </w:r>
    </w:p>
    <w:p w14:paraId="26C4DD6E" w14:textId="77777777" w:rsidR="00FA4DD9" w:rsidRPr="00FA4DD9" w:rsidRDefault="00FA4DD9" w:rsidP="00FA4DD9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</w:p>
    <w:p w14:paraId="696F95BB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intensificación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industria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extractiva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América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Latina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una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creciente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amenaza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medio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ambiente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personas,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especialmente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comunidades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rurales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los pueblos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indígenas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. En la actual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situación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crisis sanitaria,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impacto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empresas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extractivas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proofErr w:type="gram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como</w:t>
      </w:r>
      <w:proofErr w:type="spellEnd"/>
      <w:proofErr w:type="gram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petroleras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mineras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madereras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puede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tener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strike/>
          <w:color w:val="000000"/>
          <w:sz w:val="22"/>
          <w:szCs w:val="22"/>
          <w:lang w:val="en-US"/>
        </w:rPr>
        <w:t>unas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consecuencias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letales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población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industrias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son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foco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potencial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riesgo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contagio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enfermedad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representan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asimismo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un</w:t>
      </w:r>
      <w:proofErr w:type="gram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peligro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ecológico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significativo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.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situación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aún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más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crítica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comunidades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afectadas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impactos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industriales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proofErr w:type="gram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como</w:t>
      </w:r>
      <w:proofErr w:type="spellEnd"/>
      <w:proofErr w:type="gram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contaminación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ríos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o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polución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tierras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</w:p>
    <w:p w14:paraId="78D01FCA" w14:textId="77777777" w:rsidR="00FA4DD9" w:rsidRPr="00FA4DD9" w:rsidRDefault="00FA4DD9" w:rsidP="00FA4DD9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</w:p>
    <w:p w14:paraId="6360880F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necesario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Unión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Europea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mantenga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sus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relaciones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políticas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con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países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América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Latina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pueda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seguir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administrando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sus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fondos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cooperación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desarrollo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velar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promoción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protección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humanos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especialmente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grupos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más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vulnerables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incluyendo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los pueblos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indígenas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comunidades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rurales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mujeres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quienes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están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sufriendo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un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impacto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más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grave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pandemia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.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América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Latina,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según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OIT, el 47% de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trabajadores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dependen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economía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informal, lo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resulta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situaciones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alta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precariedad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social. </w:t>
      </w:r>
      <w:proofErr w:type="gram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El COVID-19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agravará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manera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significativa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dicha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precariedad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arrastrando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millones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de personas a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situaciones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pobreza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y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pobreza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extrema</w:t>
      </w:r>
      <w:proofErr w:type="spellEnd"/>
      <w:r w:rsidRPr="00FA4DD9">
        <w:rPr>
          <w:rFonts w:ascii="Helvetica" w:hAnsi="Helvetica" w:cs="Times New Roman"/>
          <w:color w:val="000000"/>
          <w:sz w:val="21"/>
          <w:szCs w:val="21"/>
          <w:shd w:val="clear" w:color="auto" w:fill="FFFFFF"/>
          <w:lang w:val="en-US"/>
        </w:rPr>
        <w:t>.</w:t>
      </w:r>
      <w:proofErr w:type="gramEnd"/>
    </w:p>
    <w:p w14:paraId="09509513" w14:textId="77777777" w:rsidR="00FA4DD9" w:rsidRPr="00FA4DD9" w:rsidRDefault="00FA4DD9" w:rsidP="00FA4DD9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</w:p>
    <w:p w14:paraId="7373A369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Ante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situación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desde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Red EU-LAT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solicitamos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 la Unión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Europea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: </w:t>
      </w:r>
    </w:p>
    <w:p w14:paraId="3650E51D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 </w:t>
      </w:r>
    </w:p>
    <w:p w14:paraId="587247A6" w14:textId="77777777" w:rsidR="00FA4DD9" w:rsidRPr="00FA4DD9" w:rsidRDefault="00FA4DD9" w:rsidP="00FA4DD9">
      <w:pPr>
        <w:ind w:left="720" w:hanging="36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lastRenderedPageBreak/>
        <w:t xml:space="preserve">- 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Suspenda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negociaciones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acuerdos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comerciales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tales </w:t>
      </w:r>
      <w:proofErr w:type="spellStart"/>
      <w:proofErr w:type="gram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como</w:t>
      </w:r>
      <w:proofErr w:type="spellEnd"/>
      <w:proofErr w:type="gram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nuevo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Acuerdo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comercial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UE –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Mercosur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mientras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no se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tenga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garantías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un control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democrático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proceso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</w:p>
    <w:p w14:paraId="33339B66" w14:textId="77777777" w:rsidR="00FA4DD9" w:rsidRPr="00FA4DD9" w:rsidRDefault="00FA4DD9" w:rsidP="00FA4DD9">
      <w:pPr>
        <w:ind w:left="72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 </w:t>
      </w:r>
    </w:p>
    <w:p w14:paraId="5DDD67B4" w14:textId="77777777" w:rsidR="00FA4DD9" w:rsidRPr="00FA4DD9" w:rsidRDefault="00FA4DD9" w:rsidP="00FA4DD9">
      <w:pPr>
        <w:ind w:left="720" w:hanging="36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- 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Garantice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actividades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empresas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europeas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y los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fondos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europeos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se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implementen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respetando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estándares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internacionales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humanos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no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aprovechen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actual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situación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intensificar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extracción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recursos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naturales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región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. </w:t>
      </w:r>
    </w:p>
    <w:p w14:paraId="11E04174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 </w:t>
      </w:r>
    </w:p>
    <w:p w14:paraId="633BC98B" w14:textId="77777777" w:rsidR="00FA4DD9" w:rsidRPr="00FA4DD9" w:rsidRDefault="00FA4DD9" w:rsidP="00FA4DD9">
      <w:pPr>
        <w:ind w:left="720" w:hanging="36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- 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su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diálogo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político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intercambios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bilaterales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inste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gobiernos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latinoamericanos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respetar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los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fundamentales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sus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ciudadanos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ciudadanas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leyes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restrictivas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sean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carácter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temporal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actuaciones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fuerzas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policiales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militares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aplicación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la ley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estén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sujetas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normas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internacionales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humanos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y se </w:t>
      </w:r>
      <w:proofErr w:type="spellStart"/>
      <w:proofErr w:type="gram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rindan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 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cuentas</w:t>
      </w:r>
      <w:proofErr w:type="spellEnd"/>
      <w:proofErr w:type="gram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ante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autoridades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civiles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. </w:t>
      </w:r>
    </w:p>
    <w:p w14:paraId="07AFC180" w14:textId="77777777" w:rsidR="00FA4DD9" w:rsidRPr="00FA4DD9" w:rsidRDefault="00FA4DD9" w:rsidP="00FA4DD9">
      <w:pPr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 </w:t>
      </w:r>
    </w:p>
    <w:p w14:paraId="7C9F0378" w14:textId="77777777" w:rsidR="00FA4DD9" w:rsidRPr="00FA4DD9" w:rsidRDefault="00FA4DD9" w:rsidP="00FA4DD9">
      <w:pPr>
        <w:ind w:left="720" w:hanging="36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-    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Inste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a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gobiernos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América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Latina 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tomar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medidas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urgentes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protección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shd w:val="clear" w:color="auto" w:fill="FFFFFF"/>
          <w:lang w:val="en-US"/>
        </w:rPr>
        <w:t>comunidades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shd w:val="clear" w:color="auto" w:fill="FFFFFF"/>
          <w:lang w:val="en-US"/>
        </w:rPr>
        <w:t>indígenas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incluyan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campañas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información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y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prevención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sus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propios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idiomas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garanticen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acceso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a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alimentación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así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como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fortalecimiento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de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sistemas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salud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pública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brindan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servicios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comunidades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7B5506BB" w14:textId="77777777" w:rsidR="00FA4DD9" w:rsidRPr="00FA4DD9" w:rsidRDefault="00FA4DD9" w:rsidP="00FA4DD9">
      <w:pPr>
        <w:ind w:left="36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 </w:t>
      </w:r>
    </w:p>
    <w:p w14:paraId="07F022C2" w14:textId="77777777" w:rsidR="00FA4DD9" w:rsidRPr="00FA4DD9" w:rsidRDefault="00FA4DD9" w:rsidP="00FA4DD9">
      <w:pPr>
        <w:ind w:left="720" w:hanging="36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-  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Frente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aumento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violencia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género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durante</w:t>
      </w:r>
      <w:proofErr w:type="spellEnd"/>
      <w:proofErr w:type="gram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confinamiento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haga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un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llamado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países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latinoamericanos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implementen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medidas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estructurales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asegurando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acceso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a la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justicia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así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como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servicios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atención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integral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mujeres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. </w:t>
      </w:r>
    </w:p>
    <w:p w14:paraId="22721278" w14:textId="77777777" w:rsidR="00FA4DD9" w:rsidRPr="00FA4DD9" w:rsidRDefault="00FA4DD9" w:rsidP="00FA4DD9">
      <w:pPr>
        <w:ind w:left="720" w:hanging="36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</w:p>
    <w:p w14:paraId="0D3B3C98" w14:textId="77777777" w:rsidR="00FA4DD9" w:rsidRPr="00FA4DD9" w:rsidRDefault="00FA4DD9" w:rsidP="00FA4DD9">
      <w:pPr>
        <w:ind w:left="720" w:hanging="36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-   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Vele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que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restricción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libertades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durante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pandemia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no sea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utilizada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para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atacar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el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trabajo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personas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defensoras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>humanos</w:t>
      </w:r>
      <w:proofErr w:type="spellEnd"/>
      <w:r w:rsidRPr="00FA4DD9">
        <w:rPr>
          <w:rFonts w:ascii="Calibri" w:hAnsi="Calibri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inste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 los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gob</w:t>
      </w:r>
      <w:r>
        <w:rPr>
          <w:rFonts w:ascii="Calibri" w:hAnsi="Calibri" w:cs="Times New Roman"/>
          <w:color w:val="000000"/>
          <w:sz w:val="22"/>
          <w:szCs w:val="22"/>
          <w:lang w:val="en-US"/>
        </w:rPr>
        <w:t>iernos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val="en-US"/>
        </w:rPr>
        <w:t>latinoamericanos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val="en-US"/>
        </w:rPr>
        <w:t>como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dijo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Michelle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Bachelet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, 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poner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libertad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a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todas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personas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detenidas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sin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fundamento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legal,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incluidas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detenidas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violación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las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obligaciones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en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materia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derechos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humanos</w:t>
      </w:r>
      <w:proofErr w:type="spellEnd"/>
      <w:r w:rsidRPr="00FA4DD9">
        <w:rPr>
          <w:rFonts w:ascii="Calibri" w:hAnsi="Calibri" w:cs="Times New Roman"/>
          <w:color w:val="000000"/>
          <w:sz w:val="22"/>
          <w:szCs w:val="22"/>
          <w:lang w:val="en-US"/>
        </w:rPr>
        <w:t>. </w:t>
      </w:r>
    </w:p>
    <w:p w14:paraId="34905322" w14:textId="77777777" w:rsidR="00FA4DD9" w:rsidRPr="00FA4DD9" w:rsidRDefault="00FA4DD9" w:rsidP="00FA4DD9">
      <w:pPr>
        <w:ind w:left="720" w:hanging="360"/>
        <w:jc w:val="both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FA4DD9">
        <w:rPr>
          <w:rFonts w:ascii="Calibri" w:hAnsi="Calibri" w:cs="Times New Roman"/>
          <w:color w:val="000000"/>
          <w:lang w:val="en-US"/>
        </w:rPr>
        <w:t> </w:t>
      </w:r>
    </w:p>
    <w:p w14:paraId="1FD216DF" w14:textId="77777777" w:rsidR="00FA4DD9" w:rsidRPr="00FA4DD9" w:rsidRDefault="00FA4DD9" w:rsidP="00FA4DD9">
      <w:pPr>
        <w:spacing w:after="240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9C4227B" w14:textId="77777777" w:rsidR="00942706" w:rsidRDefault="00942706"/>
    <w:sectPr w:rsidR="00942706" w:rsidSect="005B798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093E" w14:textId="77777777" w:rsidR="00920536" w:rsidRDefault="00920536" w:rsidP="00920536">
      <w:r>
        <w:separator/>
      </w:r>
    </w:p>
  </w:endnote>
  <w:endnote w:type="continuationSeparator" w:id="0">
    <w:p w14:paraId="74372081" w14:textId="77777777" w:rsidR="00920536" w:rsidRDefault="00920536" w:rsidP="0092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AEBC" w14:textId="77777777" w:rsidR="00920536" w:rsidRDefault="00920536" w:rsidP="00920536">
      <w:r>
        <w:separator/>
      </w:r>
    </w:p>
  </w:footnote>
  <w:footnote w:type="continuationSeparator" w:id="0">
    <w:p w14:paraId="2C238244" w14:textId="77777777" w:rsidR="00920536" w:rsidRDefault="00920536" w:rsidP="00920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95BD2" w14:textId="77777777" w:rsidR="00920536" w:rsidRDefault="00920536">
    <w:pPr>
      <w:pStyle w:val="Header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allowOverlap="1" wp14:anchorId="02EF31F0" wp14:editId="2D5B6B4D">
          <wp:simplePos x="0" y="0"/>
          <wp:positionH relativeFrom="column">
            <wp:posOffset>3595370</wp:posOffset>
          </wp:positionH>
          <wp:positionV relativeFrom="paragraph">
            <wp:posOffset>-295910</wp:posOffset>
          </wp:positionV>
          <wp:extent cx="1923925" cy="728663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/>
                </pic:nvPicPr>
                <pic:blipFill>
                  <a:blip r:embed="rId1">
                    <a:alphaModFix amt="49000"/>
                  </a:blip>
                  <a:stretch/>
                </pic:blipFill>
                <pic:spPr bwMode="auto">
                  <a:xfrm>
                    <a:off x="0" y="0"/>
                    <a:ext cx="1923925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D9"/>
    <w:rsid w:val="005B798A"/>
    <w:rsid w:val="00920536"/>
    <w:rsid w:val="00942706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71D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D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A4D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53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20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36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D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A4D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53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20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3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hchr.org/EN/NewsEvents/Pages/DisplayNews.aspx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4325</Characters>
  <Application>Microsoft Macintosh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Llobregat Revert</dc:creator>
  <cp:keywords/>
  <dc:description/>
  <cp:lastModifiedBy>Rosa Llobregat Revert</cp:lastModifiedBy>
  <cp:revision>2</cp:revision>
  <dcterms:created xsi:type="dcterms:W3CDTF">2020-04-23T09:45:00Z</dcterms:created>
  <dcterms:modified xsi:type="dcterms:W3CDTF">2020-04-23T09:58:00Z</dcterms:modified>
</cp:coreProperties>
</file>